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4DFC7E1"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AB0B90">
        <w:rPr>
          <w:rFonts w:ascii="Arial Narrow" w:hAnsi="Arial Narrow"/>
          <w:sz w:val="20"/>
        </w:rPr>
        <w:t>5</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17E45AB"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0B7955">
        <w:rPr>
          <w:rFonts w:ascii="Arial Narrow" w:hAnsi="Arial Narrow"/>
        </w:rPr>
        <w:t>5</w:t>
      </w:r>
      <w:r w:rsidR="00B81EA3">
        <w:rPr>
          <w:rFonts w:ascii="Arial Narrow" w:hAnsi="Arial Narrow"/>
        </w:rPr>
        <w:t xml:space="preserve">: </w:t>
      </w:r>
      <w:r w:rsidR="00F44B1E">
        <w:rPr>
          <w:rFonts w:ascii="Arial Narrow" w:hAnsi="Arial Narrow"/>
        </w:rPr>
        <w:t>„</w:t>
      </w:r>
      <w:r w:rsidR="00AB0B90" w:rsidRPr="00AB0B90">
        <w:rPr>
          <w:rFonts w:ascii="Arial Narrow" w:hAnsi="Arial Narrow" w:cs="Arial"/>
          <w:b/>
        </w:rPr>
        <w:t>Kontejnery na použitý operační materiál</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montáž, instalace, uvedení do provozu včetně ověření jeho funkčnosti, provedení všech provozních testů (zejména výchozí elektrorevize</w:t>
      </w:r>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CE declaration</w:t>
      </w:r>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D71D93">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Tato smlouva nabývá platnosti a účinnosti podpisem poslední smluvní strany v případě zdravotnických prostředků ve smyslu ust.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w:t>
      </w:r>
      <w:r w:rsidRPr="00D85596">
        <w:rPr>
          <w:rFonts w:ascii="Arial Narrow" w:hAnsi="Arial Narrow"/>
        </w:rPr>
        <w:lastRenderedPageBreak/>
        <w:t>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BA558" w14:textId="77777777" w:rsidR="0021245A" w:rsidRDefault="0021245A">
      <w:r>
        <w:separator/>
      </w:r>
    </w:p>
  </w:endnote>
  <w:endnote w:type="continuationSeparator" w:id="0">
    <w:p w14:paraId="393B2F7C" w14:textId="77777777" w:rsidR="0021245A" w:rsidRDefault="0021245A">
      <w:r>
        <w:continuationSeparator/>
      </w:r>
    </w:p>
  </w:endnote>
  <w:endnote w:type="continuationNotice" w:id="1">
    <w:p w14:paraId="5007CAEF" w14:textId="77777777" w:rsidR="0021245A" w:rsidRDefault="00212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F5AB3" w14:textId="77777777" w:rsidR="0021245A" w:rsidRDefault="0021245A">
      <w:r>
        <w:separator/>
      </w:r>
    </w:p>
  </w:footnote>
  <w:footnote w:type="continuationSeparator" w:id="0">
    <w:p w14:paraId="3AA9722D" w14:textId="77777777" w:rsidR="0021245A" w:rsidRDefault="0021245A">
      <w:r>
        <w:continuationSeparator/>
      </w:r>
    </w:p>
  </w:footnote>
  <w:footnote w:type="continuationNotice" w:id="1">
    <w:p w14:paraId="10C893AC" w14:textId="77777777" w:rsidR="0021245A" w:rsidRDefault="002124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B7955"/>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245A"/>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E18"/>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0B90"/>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18</Pages>
  <Words>5964</Words>
  <Characters>35190</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41072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2023-04-13T17:22:00Z</dcterms:modified>
</cp:coreProperties>
</file>